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D1" w:rsidRDefault="00783779" w:rsidP="006C43D1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TAX CREDIT</w:t>
      </w:r>
      <w:r w:rsidR="004841FF">
        <w:rPr>
          <w:sz w:val="28"/>
          <w:szCs w:val="28"/>
        </w:rPr>
        <w:t xml:space="preserve"> FOR </w:t>
      </w:r>
      <w:r w:rsidR="00900BC6">
        <w:rPr>
          <w:sz w:val="28"/>
          <w:szCs w:val="28"/>
        </w:rPr>
        <w:t>ACCESSIBILITY FEATURES (LIVABLE HOMES)</w:t>
      </w:r>
    </w:p>
    <w:p w:rsidR="006C43D1" w:rsidRPr="006C43D1" w:rsidRDefault="000617C2" w:rsidP="006C43D1">
      <w:pPr>
        <w:pStyle w:val="Heading2"/>
        <w:rPr>
          <w:sz w:val="28"/>
          <w:szCs w:val="28"/>
        </w:rPr>
      </w:pPr>
      <w:r w:rsidRPr="006C43D1">
        <w:rPr>
          <w:sz w:val="28"/>
          <w:szCs w:val="28"/>
        </w:rPr>
        <w:t xml:space="preserve"> </w:t>
      </w:r>
    </w:p>
    <w:p w:rsidR="006C43D1" w:rsidRDefault="000B7511" w:rsidP="00183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 of Accessibility Features Eligible for Tax Credit</w:t>
      </w:r>
    </w:p>
    <w:p w:rsidR="000B7511" w:rsidRDefault="000B7511" w:rsidP="00183300">
      <w:pPr>
        <w:jc w:val="center"/>
        <w:rPr>
          <w:b/>
          <w:sz w:val="28"/>
          <w:szCs w:val="28"/>
        </w:rPr>
      </w:pPr>
    </w:p>
    <w:p w:rsidR="000B7511" w:rsidRPr="00036EF0" w:rsidRDefault="000B7511" w:rsidP="000B7511">
      <w:pPr>
        <w:pStyle w:val="Heading2"/>
        <w:jc w:val="left"/>
        <w:rPr>
          <w:sz w:val="28"/>
          <w:szCs w:val="28"/>
        </w:rPr>
      </w:pPr>
    </w:p>
    <w:p w:rsidR="000B7511" w:rsidRPr="00036EF0" w:rsidRDefault="000B7511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A no-step front entrance with a threshold that does not exceed ½ inch in depth with tapered advance and return surfaces or, if a no-step front entrance is not feasible, a no-step entrance to another part of the residence that provides access to the main living space of the residence</w:t>
      </w:r>
      <w:r w:rsidR="003551AC">
        <w:rPr>
          <w:sz w:val="28"/>
          <w:szCs w:val="28"/>
        </w:rPr>
        <w:t xml:space="preserve"> – PERMIT REQUIRED</w:t>
      </w:r>
    </w:p>
    <w:p w:rsidR="000B7511" w:rsidRPr="00036EF0" w:rsidRDefault="000B7511" w:rsidP="000B7511">
      <w:pPr>
        <w:pStyle w:val="ListParagraph"/>
        <w:rPr>
          <w:sz w:val="28"/>
          <w:szCs w:val="28"/>
        </w:rPr>
      </w:pPr>
    </w:p>
    <w:p w:rsidR="000B7511" w:rsidRPr="00036EF0" w:rsidRDefault="000B7511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An installed ramp creating a no-step entrance</w:t>
      </w:r>
      <w:r w:rsidR="003551AC">
        <w:rPr>
          <w:sz w:val="28"/>
          <w:szCs w:val="28"/>
        </w:rPr>
        <w:t xml:space="preserve"> – PERMIT REQUIRED</w:t>
      </w:r>
    </w:p>
    <w:p w:rsidR="000B7511" w:rsidRPr="00036EF0" w:rsidRDefault="000B7511" w:rsidP="000B7511">
      <w:pPr>
        <w:pStyle w:val="ListParagraph"/>
        <w:rPr>
          <w:sz w:val="28"/>
          <w:szCs w:val="28"/>
        </w:rPr>
      </w:pPr>
    </w:p>
    <w:p w:rsidR="000B7511" w:rsidRPr="00036EF0" w:rsidRDefault="000B7511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An interior doorway that provides a 32-inch wide or wider clear opening</w:t>
      </w:r>
      <w:r w:rsidR="003551AC">
        <w:rPr>
          <w:sz w:val="28"/>
          <w:szCs w:val="28"/>
        </w:rPr>
        <w:t xml:space="preserve"> – PERMIT REQUIRED</w:t>
      </w:r>
    </w:p>
    <w:p w:rsidR="000B7511" w:rsidRPr="00036EF0" w:rsidRDefault="000B7511" w:rsidP="000B7511">
      <w:pPr>
        <w:pStyle w:val="ListParagraph"/>
        <w:rPr>
          <w:sz w:val="28"/>
          <w:szCs w:val="28"/>
        </w:rPr>
      </w:pPr>
    </w:p>
    <w:p w:rsidR="000B7511" w:rsidRPr="00036EF0" w:rsidRDefault="000B7511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An exterior doorway that provides a 36-inch wide or wider clear opening but only if accompanied by exterior lighting that is either controlled from inside the residence, automatically</w:t>
      </w:r>
      <w:r w:rsidR="003551AC">
        <w:rPr>
          <w:sz w:val="28"/>
          <w:szCs w:val="28"/>
        </w:rPr>
        <w:t xml:space="preserve"> controlled, or continuously on – PERMIT REQUIRED </w:t>
      </w:r>
    </w:p>
    <w:p w:rsidR="000B7511" w:rsidRPr="00036EF0" w:rsidRDefault="000B7511" w:rsidP="000B7511">
      <w:pPr>
        <w:pStyle w:val="ListParagraph"/>
        <w:rPr>
          <w:sz w:val="28"/>
          <w:szCs w:val="28"/>
        </w:rPr>
      </w:pPr>
    </w:p>
    <w:p w:rsidR="000B7511" w:rsidRPr="00036EF0" w:rsidRDefault="000B7511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Walls around a toilet, tub, or shower reinforced to allow for the proper installation of grab bars with grab bars installed in accordance with the ADA Standards for Accessible Design</w:t>
      </w:r>
      <w:r w:rsidR="003551AC">
        <w:rPr>
          <w:sz w:val="28"/>
          <w:szCs w:val="28"/>
        </w:rPr>
        <w:t xml:space="preserve"> – PERMIT REQUIRED</w:t>
      </w:r>
    </w:p>
    <w:p w:rsidR="000B7511" w:rsidRPr="00036EF0" w:rsidRDefault="000B7511" w:rsidP="000B7511">
      <w:pPr>
        <w:pStyle w:val="ListParagraph"/>
        <w:rPr>
          <w:sz w:val="28"/>
          <w:szCs w:val="28"/>
        </w:rPr>
      </w:pPr>
    </w:p>
    <w:p w:rsidR="000B7511" w:rsidRPr="00036EF0" w:rsidRDefault="000B7511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Maneuvering space of at least 30 inches by 48 inches in a bathroom or kitchen so that a person using a mobility aid may enter a room, open and close the door, and operate each fixture or appliance</w:t>
      </w:r>
      <w:r w:rsidR="003551AC">
        <w:rPr>
          <w:sz w:val="28"/>
          <w:szCs w:val="28"/>
        </w:rPr>
        <w:t xml:space="preserve"> – PERMIT REQUIRED</w:t>
      </w:r>
    </w:p>
    <w:p w:rsidR="000B7511" w:rsidRPr="00036EF0" w:rsidRDefault="000B7511" w:rsidP="000B7511">
      <w:pPr>
        <w:pStyle w:val="ListParagraph"/>
        <w:rPr>
          <w:sz w:val="28"/>
          <w:szCs w:val="28"/>
        </w:rPr>
      </w:pPr>
    </w:p>
    <w:p w:rsidR="000B7511" w:rsidRPr="00036EF0" w:rsidRDefault="000B7511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An exterior or interior elevator or lift or stair glide unit</w:t>
      </w:r>
      <w:r w:rsidR="003551AC">
        <w:rPr>
          <w:sz w:val="28"/>
          <w:szCs w:val="28"/>
        </w:rPr>
        <w:t xml:space="preserve"> – PERMIT REQUIRED</w:t>
      </w:r>
    </w:p>
    <w:p w:rsidR="000B7511" w:rsidRPr="00036EF0" w:rsidRDefault="000B7511" w:rsidP="000B7511">
      <w:pPr>
        <w:pStyle w:val="ListParagraph"/>
        <w:rPr>
          <w:sz w:val="28"/>
          <w:szCs w:val="28"/>
        </w:rPr>
      </w:pPr>
    </w:p>
    <w:p w:rsidR="000B7511" w:rsidRPr="00036EF0" w:rsidRDefault="000B7511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An accessibility-enhanced bathroom including but not limited to a walk-in or roll-in shower or tub, built in shower seats, and lowered seats</w:t>
      </w:r>
      <w:r w:rsidR="003551AC">
        <w:rPr>
          <w:sz w:val="28"/>
          <w:szCs w:val="28"/>
        </w:rPr>
        <w:t xml:space="preserve"> – PERMIT REQUIRED</w:t>
      </w:r>
    </w:p>
    <w:p w:rsidR="00501415" w:rsidRPr="00036EF0" w:rsidRDefault="00501415" w:rsidP="00501415">
      <w:pPr>
        <w:pStyle w:val="ListParagraph"/>
        <w:rPr>
          <w:sz w:val="28"/>
          <w:szCs w:val="28"/>
        </w:rPr>
      </w:pPr>
    </w:p>
    <w:p w:rsidR="00501415" w:rsidRPr="00036EF0" w:rsidRDefault="00501415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Alarms, appliances, and controls structurally integrated into the unit to assist an individual with a sensory disability</w:t>
      </w:r>
      <w:r w:rsidR="003551AC">
        <w:rPr>
          <w:sz w:val="28"/>
          <w:szCs w:val="28"/>
        </w:rPr>
        <w:t xml:space="preserve"> – NO PERMIT REQUIRED</w:t>
      </w:r>
    </w:p>
    <w:p w:rsidR="00501415" w:rsidRPr="00036EF0" w:rsidRDefault="00501415" w:rsidP="00501415">
      <w:pPr>
        <w:pStyle w:val="ListParagraph"/>
        <w:rPr>
          <w:sz w:val="28"/>
          <w:szCs w:val="28"/>
        </w:rPr>
      </w:pPr>
    </w:p>
    <w:p w:rsidR="00501415" w:rsidRPr="00036EF0" w:rsidRDefault="00501415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An accessible path between parking and the home that meets standards set forth in the American with Disabilities Act</w:t>
      </w:r>
      <w:r w:rsidR="003551AC">
        <w:rPr>
          <w:sz w:val="28"/>
          <w:szCs w:val="28"/>
        </w:rPr>
        <w:t xml:space="preserve"> – PERMIT REQUIRED</w:t>
      </w:r>
    </w:p>
    <w:p w:rsidR="00501415" w:rsidRPr="00036EF0" w:rsidRDefault="00501415" w:rsidP="00501415">
      <w:pPr>
        <w:pStyle w:val="ListParagraph"/>
        <w:rPr>
          <w:sz w:val="28"/>
          <w:szCs w:val="28"/>
        </w:rPr>
      </w:pPr>
    </w:p>
    <w:p w:rsidR="00501415" w:rsidRPr="00036EF0" w:rsidRDefault="00501415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A “no-step” access to any entrance on an accessible route</w:t>
      </w:r>
      <w:r w:rsidR="003551AC">
        <w:rPr>
          <w:sz w:val="28"/>
          <w:szCs w:val="28"/>
        </w:rPr>
        <w:t xml:space="preserve"> – PERMIT REQUIRED</w:t>
      </w:r>
    </w:p>
    <w:p w:rsidR="00501415" w:rsidRPr="00036EF0" w:rsidRDefault="00501415" w:rsidP="00501415">
      <w:pPr>
        <w:pStyle w:val="ListParagraph"/>
        <w:rPr>
          <w:sz w:val="28"/>
          <w:szCs w:val="28"/>
        </w:rPr>
      </w:pPr>
    </w:p>
    <w:p w:rsidR="00501415" w:rsidRPr="00036EF0" w:rsidRDefault="00501415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Railings for hallways or interior or exterior steps or the improvement of stair design</w:t>
      </w:r>
      <w:r w:rsidR="003551AC">
        <w:rPr>
          <w:sz w:val="28"/>
          <w:szCs w:val="28"/>
        </w:rPr>
        <w:t xml:space="preserve"> – PERMIT REQUIRED</w:t>
      </w:r>
    </w:p>
    <w:p w:rsidR="00501415" w:rsidRPr="00036EF0" w:rsidRDefault="00501415" w:rsidP="00501415">
      <w:pPr>
        <w:pStyle w:val="ListParagraph"/>
        <w:rPr>
          <w:sz w:val="28"/>
          <w:szCs w:val="28"/>
        </w:rPr>
      </w:pPr>
    </w:p>
    <w:p w:rsidR="00501415" w:rsidRPr="00036EF0" w:rsidRDefault="00501415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lastRenderedPageBreak/>
        <w:t>Hallways that are at least 36-inches wide</w:t>
      </w:r>
      <w:r w:rsidR="003551AC">
        <w:rPr>
          <w:sz w:val="28"/>
          <w:szCs w:val="28"/>
        </w:rPr>
        <w:t xml:space="preserve"> – PERMIT REQUIRED</w:t>
      </w:r>
    </w:p>
    <w:p w:rsidR="00501415" w:rsidRPr="00036EF0" w:rsidRDefault="00501415" w:rsidP="00501415">
      <w:pPr>
        <w:pStyle w:val="ListParagraph"/>
        <w:rPr>
          <w:sz w:val="28"/>
          <w:szCs w:val="28"/>
        </w:rPr>
      </w:pPr>
    </w:p>
    <w:p w:rsidR="00501415" w:rsidRPr="00036EF0" w:rsidRDefault="00501415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A master bedroom and master bathroom on the first floor</w:t>
      </w:r>
      <w:r w:rsidR="003551AC">
        <w:rPr>
          <w:sz w:val="28"/>
          <w:szCs w:val="28"/>
        </w:rPr>
        <w:t xml:space="preserve"> – PERMIT REQUIRED</w:t>
      </w:r>
    </w:p>
    <w:p w:rsidR="00501415" w:rsidRPr="00036EF0" w:rsidRDefault="00501415" w:rsidP="00501415">
      <w:pPr>
        <w:pStyle w:val="ListParagraph"/>
        <w:rPr>
          <w:sz w:val="28"/>
          <w:szCs w:val="28"/>
        </w:rPr>
      </w:pPr>
    </w:p>
    <w:p w:rsidR="00501415" w:rsidRPr="00036EF0" w:rsidRDefault="00501415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Smooth transitions between rooms, i.e. a vertical threshold of 2 inches or less</w:t>
      </w:r>
      <w:r w:rsidR="003551AC">
        <w:rPr>
          <w:sz w:val="28"/>
          <w:szCs w:val="28"/>
        </w:rPr>
        <w:t xml:space="preserve"> – NO PERMIT REQUIRED</w:t>
      </w:r>
    </w:p>
    <w:p w:rsidR="00501415" w:rsidRPr="00036EF0" w:rsidRDefault="00501415" w:rsidP="00501415">
      <w:pPr>
        <w:pStyle w:val="ListParagraph"/>
        <w:rPr>
          <w:sz w:val="28"/>
          <w:szCs w:val="28"/>
        </w:rPr>
      </w:pPr>
    </w:p>
    <w:p w:rsidR="00501415" w:rsidRPr="00036EF0" w:rsidRDefault="00501415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Slip-resistant flooring</w:t>
      </w:r>
      <w:r w:rsidR="003551AC">
        <w:rPr>
          <w:sz w:val="28"/>
          <w:szCs w:val="28"/>
        </w:rPr>
        <w:t xml:space="preserve"> – NO PERMIT REQUIRED</w:t>
      </w:r>
    </w:p>
    <w:p w:rsidR="00501415" w:rsidRPr="00036EF0" w:rsidRDefault="00501415" w:rsidP="00501415">
      <w:pPr>
        <w:pStyle w:val="ListParagraph"/>
        <w:rPr>
          <w:sz w:val="28"/>
          <w:szCs w:val="28"/>
        </w:rPr>
      </w:pPr>
    </w:p>
    <w:p w:rsidR="00501415" w:rsidRPr="00036EF0" w:rsidRDefault="003F1B07" w:rsidP="000B7511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Lever handles ofn</w:t>
      </w:r>
      <w:r w:rsidR="00501415" w:rsidRPr="00036EF0">
        <w:rPr>
          <w:sz w:val="28"/>
          <w:szCs w:val="28"/>
        </w:rPr>
        <w:t xml:space="preserve"> kitchen and bathroom sinks or showers and interior and exterior doors</w:t>
      </w:r>
      <w:r w:rsidR="003551AC">
        <w:rPr>
          <w:sz w:val="28"/>
          <w:szCs w:val="28"/>
        </w:rPr>
        <w:t xml:space="preserve"> </w:t>
      </w:r>
      <w:r w:rsidR="00CA565B">
        <w:rPr>
          <w:sz w:val="28"/>
          <w:szCs w:val="28"/>
        </w:rPr>
        <w:t>–</w:t>
      </w:r>
      <w:r w:rsidR="003551AC">
        <w:rPr>
          <w:sz w:val="28"/>
          <w:szCs w:val="28"/>
        </w:rPr>
        <w:t xml:space="preserve"> </w:t>
      </w:r>
      <w:r w:rsidR="00CA565B">
        <w:rPr>
          <w:sz w:val="28"/>
          <w:szCs w:val="28"/>
        </w:rPr>
        <w:t>NO PERMIT REQUIRED</w:t>
      </w:r>
    </w:p>
    <w:p w:rsidR="00501415" w:rsidRPr="00036EF0" w:rsidRDefault="00501415" w:rsidP="00501415">
      <w:pPr>
        <w:pStyle w:val="ListParagraph"/>
        <w:rPr>
          <w:sz w:val="28"/>
          <w:szCs w:val="28"/>
        </w:rPr>
      </w:pPr>
    </w:p>
    <w:p w:rsidR="00501415" w:rsidRPr="00036EF0" w:rsidRDefault="00501415" w:rsidP="00501415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The relocation of switches, doorbells, thermostats and breaker boxes so that they are no more than 48 inches above the floor or electrical receptacles so that the</w:t>
      </w:r>
      <w:r w:rsidR="00036EF0">
        <w:rPr>
          <w:sz w:val="28"/>
          <w:szCs w:val="28"/>
        </w:rPr>
        <w:t>y</w:t>
      </w:r>
      <w:r w:rsidRPr="00036EF0">
        <w:rPr>
          <w:sz w:val="28"/>
          <w:szCs w:val="28"/>
        </w:rPr>
        <w:t xml:space="preserve"> are at least 15 inches above the floor</w:t>
      </w:r>
      <w:r w:rsidR="00CA565B">
        <w:rPr>
          <w:sz w:val="28"/>
          <w:szCs w:val="28"/>
        </w:rPr>
        <w:t xml:space="preserve"> – PERMIT REQUIRED</w:t>
      </w:r>
    </w:p>
    <w:p w:rsidR="00501415" w:rsidRPr="00036EF0" w:rsidRDefault="00501415" w:rsidP="00501415">
      <w:pPr>
        <w:pStyle w:val="ListParagraph"/>
        <w:rPr>
          <w:sz w:val="28"/>
          <w:szCs w:val="28"/>
        </w:rPr>
      </w:pPr>
    </w:p>
    <w:p w:rsidR="00501415" w:rsidRPr="00036EF0" w:rsidRDefault="00501415" w:rsidP="00501415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Closet renovations for accessibility including, without limitation, closet rods that adjust from 3 feet to 5 feet 6 inches</w:t>
      </w:r>
      <w:r w:rsidR="00CA565B">
        <w:rPr>
          <w:sz w:val="28"/>
          <w:szCs w:val="28"/>
        </w:rPr>
        <w:t xml:space="preserve"> – NO PERMIT REQUIRED</w:t>
      </w:r>
    </w:p>
    <w:p w:rsidR="00501415" w:rsidRPr="00036EF0" w:rsidRDefault="00501415" w:rsidP="00501415">
      <w:pPr>
        <w:pStyle w:val="ListParagraph"/>
        <w:rPr>
          <w:sz w:val="28"/>
          <w:szCs w:val="28"/>
        </w:rPr>
      </w:pPr>
    </w:p>
    <w:p w:rsidR="00501415" w:rsidRPr="00036EF0" w:rsidRDefault="00501415" w:rsidP="00501415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Anti-scald devices</w:t>
      </w:r>
      <w:r w:rsidR="00CA565B">
        <w:rPr>
          <w:sz w:val="28"/>
          <w:szCs w:val="28"/>
        </w:rPr>
        <w:t xml:space="preserve"> – PERMIT REQUIRED</w:t>
      </w:r>
    </w:p>
    <w:p w:rsidR="00501415" w:rsidRPr="00036EF0" w:rsidRDefault="00501415" w:rsidP="00501415">
      <w:pPr>
        <w:pStyle w:val="ListParagraph"/>
        <w:rPr>
          <w:sz w:val="28"/>
          <w:szCs w:val="28"/>
        </w:rPr>
      </w:pPr>
    </w:p>
    <w:p w:rsidR="00501415" w:rsidRDefault="00501415" w:rsidP="00501415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36EF0">
        <w:rPr>
          <w:sz w:val="28"/>
          <w:szCs w:val="28"/>
        </w:rPr>
        <w:t>Any feature that the County requires particularly for age-restricted adult housing</w:t>
      </w:r>
      <w:r w:rsidR="00CA565B">
        <w:rPr>
          <w:sz w:val="28"/>
          <w:szCs w:val="28"/>
        </w:rPr>
        <w:t xml:space="preserve"> – PERMIT REQUIRED</w:t>
      </w:r>
    </w:p>
    <w:p w:rsidR="00CA565B" w:rsidRPr="00CA565B" w:rsidRDefault="00CA565B" w:rsidP="00CA565B">
      <w:pPr>
        <w:pStyle w:val="ListParagraph"/>
        <w:rPr>
          <w:sz w:val="28"/>
          <w:szCs w:val="28"/>
        </w:rPr>
      </w:pPr>
    </w:p>
    <w:p w:rsidR="00CA565B" w:rsidRPr="00CA565B" w:rsidRDefault="00CA565B" w:rsidP="00CA565B">
      <w:pPr>
        <w:rPr>
          <w:sz w:val="28"/>
          <w:szCs w:val="28"/>
        </w:rPr>
      </w:pPr>
    </w:p>
    <w:p w:rsidR="00156242" w:rsidRDefault="00156242">
      <w:pPr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sectPr w:rsidR="00156242" w:rsidSect="002B37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E0" w:rsidRPr="000E604D" w:rsidRDefault="003960E0" w:rsidP="00C927B7">
      <w:pPr>
        <w:rPr>
          <w:sz w:val="23"/>
          <w:szCs w:val="23"/>
        </w:rPr>
      </w:pPr>
      <w:r w:rsidRPr="000E604D">
        <w:rPr>
          <w:sz w:val="23"/>
          <w:szCs w:val="23"/>
        </w:rPr>
        <w:separator/>
      </w:r>
    </w:p>
  </w:endnote>
  <w:endnote w:type="continuationSeparator" w:id="0">
    <w:p w:rsidR="003960E0" w:rsidRPr="000E604D" w:rsidRDefault="003960E0" w:rsidP="00C927B7">
      <w:pPr>
        <w:rPr>
          <w:sz w:val="23"/>
          <w:szCs w:val="23"/>
        </w:rPr>
      </w:pPr>
      <w:r w:rsidRPr="000E604D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74" w:rsidRDefault="00796D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74" w:rsidRDefault="00796D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74" w:rsidRDefault="00796D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E0" w:rsidRPr="000E604D" w:rsidRDefault="003960E0" w:rsidP="00C927B7">
      <w:pPr>
        <w:rPr>
          <w:sz w:val="23"/>
          <w:szCs w:val="23"/>
        </w:rPr>
      </w:pPr>
      <w:r w:rsidRPr="000E604D">
        <w:rPr>
          <w:sz w:val="23"/>
          <w:szCs w:val="23"/>
        </w:rPr>
        <w:separator/>
      </w:r>
    </w:p>
  </w:footnote>
  <w:footnote w:type="continuationSeparator" w:id="0">
    <w:p w:rsidR="003960E0" w:rsidRPr="000E604D" w:rsidRDefault="003960E0" w:rsidP="00C927B7">
      <w:pPr>
        <w:rPr>
          <w:sz w:val="23"/>
          <w:szCs w:val="23"/>
        </w:rPr>
      </w:pPr>
      <w:r w:rsidRPr="000E604D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74" w:rsidRDefault="00796D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91A" w:rsidRPr="000E604D" w:rsidRDefault="002A791A">
    <w:pPr>
      <w:pStyle w:val="Header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74" w:rsidRDefault="00796D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A9F"/>
    <w:multiLevelType w:val="hybridMultilevel"/>
    <w:tmpl w:val="170CA34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90F13"/>
    <w:multiLevelType w:val="hybridMultilevel"/>
    <w:tmpl w:val="1AA47F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117600B"/>
    <w:multiLevelType w:val="hybridMultilevel"/>
    <w:tmpl w:val="15A0F850"/>
    <w:lvl w:ilvl="0" w:tplc="7B46AEE4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A6DB7"/>
    <w:multiLevelType w:val="hybridMultilevel"/>
    <w:tmpl w:val="2BF6F750"/>
    <w:lvl w:ilvl="0" w:tplc="10E43D96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13B36"/>
    <w:multiLevelType w:val="hybridMultilevel"/>
    <w:tmpl w:val="F216BAF0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E53241"/>
    <w:multiLevelType w:val="hybridMultilevel"/>
    <w:tmpl w:val="BD5AA41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06C5F"/>
    <w:multiLevelType w:val="hybridMultilevel"/>
    <w:tmpl w:val="8DCC44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75383"/>
    <w:multiLevelType w:val="hybridMultilevel"/>
    <w:tmpl w:val="9EB06226"/>
    <w:lvl w:ilvl="0" w:tplc="7A7A27DC">
      <w:start w:val="1"/>
      <w:numFmt w:val="upp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CC3442"/>
    <w:multiLevelType w:val="hybridMultilevel"/>
    <w:tmpl w:val="1B9A34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0245F"/>
    <w:multiLevelType w:val="hybridMultilevel"/>
    <w:tmpl w:val="D2488B0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D6525"/>
    <w:multiLevelType w:val="hybridMultilevel"/>
    <w:tmpl w:val="3DAC7532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5067A"/>
    <w:multiLevelType w:val="hybridMultilevel"/>
    <w:tmpl w:val="8518862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950E0"/>
    <w:multiLevelType w:val="hybridMultilevel"/>
    <w:tmpl w:val="9EB06226"/>
    <w:lvl w:ilvl="0" w:tplc="7A7A27DC">
      <w:start w:val="1"/>
      <w:numFmt w:val="upp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593983"/>
    <w:multiLevelType w:val="hybridMultilevel"/>
    <w:tmpl w:val="E95E4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321B2C"/>
    <w:multiLevelType w:val="hybridMultilevel"/>
    <w:tmpl w:val="1D34A246"/>
    <w:lvl w:ilvl="0" w:tplc="F420288E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5A68D1"/>
    <w:multiLevelType w:val="hybridMultilevel"/>
    <w:tmpl w:val="5C129218"/>
    <w:lvl w:ilvl="0" w:tplc="590CB244"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ADE1BBA"/>
    <w:multiLevelType w:val="hybridMultilevel"/>
    <w:tmpl w:val="D86654C8"/>
    <w:lvl w:ilvl="0" w:tplc="85C8E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A6DF5"/>
    <w:multiLevelType w:val="hybridMultilevel"/>
    <w:tmpl w:val="E5882D66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92A81"/>
    <w:multiLevelType w:val="hybridMultilevel"/>
    <w:tmpl w:val="A13C208E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DE7083"/>
    <w:multiLevelType w:val="hybridMultilevel"/>
    <w:tmpl w:val="994A1F5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743B1"/>
    <w:multiLevelType w:val="hybridMultilevel"/>
    <w:tmpl w:val="23467CC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6641E6"/>
    <w:multiLevelType w:val="hybridMultilevel"/>
    <w:tmpl w:val="F48415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F2D65"/>
    <w:multiLevelType w:val="hybridMultilevel"/>
    <w:tmpl w:val="F206925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FF1E6B"/>
    <w:multiLevelType w:val="hybridMultilevel"/>
    <w:tmpl w:val="7EC61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8F28C0"/>
    <w:multiLevelType w:val="hybridMultilevel"/>
    <w:tmpl w:val="1A463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332C2"/>
    <w:multiLevelType w:val="hybridMultilevel"/>
    <w:tmpl w:val="1174F902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2E71BC"/>
    <w:multiLevelType w:val="hybridMultilevel"/>
    <w:tmpl w:val="A75E59E4"/>
    <w:lvl w:ilvl="0" w:tplc="A76EAD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E0513C"/>
    <w:multiLevelType w:val="hybridMultilevel"/>
    <w:tmpl w:val="AEE0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E5C50"/>
    <w:multiLevelType w:val="hybridMultilevel"/>
    <w:tmpl w:val="9D00974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131A0"/>
    <w:multiLevelType w:val="hybridMultilevel"/>
    <w:tmpl w:val="2D92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35E94"/>
    <w:multiLevelType w:val="hybridMultilevel"/>
    <w:tmpl w:val="72C447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D782A"/>
    <w:multiLevelType w:val="hybridMultilevel"/>
    <w:tmpl w:val="1F12485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24"/>
  </w:num>
  <w:num w:numId="5">
    <w:abstractNumId w:val="22"/>
  </w:num>
  <w:num w:numId="6">
    <w:abstractNumId w:val="25"/>
  </w:num>
  <w:num w:numId="7">
    <w:abstractNumId w:val="26"/>
  </w:num>
  <w:num w:numId="8">
    <w:abstractNumId w:val="0"/>
  </w:num>
  <w:num w:numId="9">
    <w:abstractNumId w:val="18"/>
  </w:num>
  <w:num w:numId="10">
    <w:abstractNumId w:val="14"/>
  </w:num>
  <w:num w:numId="11">
    <w:abstractNumId w:val="20"/>
  </w:num>
  <w:num w:numId="12">
    <w:abstractNumId w:val="4"/>
  </w:num>
  <w:num w:numId="13">
    <w:abstractNumId w:val="30"/>
  </w:num>
  <w:num w:numId="14">
    <w:abstractNumId w:val="5"/>
  </w:num>
  <w:num w:numId="15">
    <w:abstractNumId w:val="9"/>
  </w:num>
  <w:num w:numId="16">
    <w:abstractNumId w:val="31"/>
  </w:num>
  <w:num w:numId="17">
    <w:abstractNumId w:val="3"/>
  </w:num>
  <w:num w:numId="18">
    <w:abstractNumId w:val="28"/>
  </w:num>
  <w:num w:numId="19">
    <w:abstractNumId w:val="10"/>
  </w:num>
  <w:num w:numId="20">
    <w:abstractNumId w:val="2"/>
  </w:num>
  <w:num w:numId="21">
    <w:abstractNumId w:val="17"/>
  </w:num>
  <w:num w:numId="22">
    <w:abstractNumId w:val="16"/>
  </w:num>
  <w:num w:numId="23">
    <w:abstractNumId w:val="12"/>
  </w:num>
  <w:num w:numId="24">
    <w:abstractNumId w:val="7"/>
  </w:num>
  <w:num w:numId="25">
    <w:abstractNumId w:val="23"/>
  </w:num>
  <w:num w:numId="26">
    <w:abstractNumId w:val="27"/>
  </w:num>
  <w:num w:numId="27">
    <w:abstractNumId w:val="13"/>
  </w:num>
  <w:num w:numId="28">
    <w:abstractNumId w:val="1"/>
  </w:num>
  <w:num w:numId="29">
    <w:abstractNumId w:val="29"/>
  </w:num>
  <w:num w:numId="30">
    <w:abstractNumId w:val="21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B7"/>
    <w:rsid w:val="00020A24"/>
    <w:rsid w:val="00036EF0"/>
    <w:rsid w:val="000617C2"/>
    <w:rsid w:val="000649D0"/>
    <w:rsid w:val="00091603"/>
    <w:rsid w:val="000A61C8"/>
    <w:rsid w:val="000B7511"/>
    <w:rsid w:val="000D3743"/>
    <w:rsid w:val="000E604D"/>
    <w:rsid w:val="001170DA"/>
    <w:rsid w:val="00156242"/>
    <w:rsid w:val="00183300"/>
    <w:rsid w:val="00194473"/>
    <w:rsid w:val="001C38CC"/>
    <w:rsid w:val="001C6524"/>
    <w:rsid w:val="00221FDF"/>
    <w:rsid w:val="00237151"/>
    <w:rsid w:val="002752CD"/>
    <w:rsid w:val="002A791A"/>
    <w:rsid w:val="002B12AA"/>
    <w:rsid w:val="002B37F8"/>
    <w:rsid w:val="002D4D04"/>
    <w:rsid w:val="002E49B0"/>
    <w:rsid w:val="002E4DB2"/>
    <w:rsid w:val="0030490A"/>
    <w:rsid w:val="00336AD0"/>
    <w:rsid w:val="00347559"/>
    <w:rsid w:val="003551AC"/>
    <w:rsid w:val="003960E0"/>
    <w:rsid w:val="003C6324"/>
    <w:rsid w:val="003F1B07"/>
    <w:rsid w:val="00402A5E"/>
    <w:rsid w:val="00403507"/>
    <w:rsid w:val="004304EC"/>
    <w:rsid w:val="00431E5F"/>
    <w:rsid w:val="00447F12"/>
    <w:rsid w:val="0045683F"/>
    <w:rsid w:val="004841FF"/>
    <w:rsid w:val="004B513F"/>
    <w:rsid w:val="00501167"/>
    <w:rsid w:val="00501415"/>
    <w:rsid w:val="005559F5"/>
    <w:rsid w:val="00573F01"/>
    <w:rsid w:val="00585251"/>
    <w:rsid w:val="005C15D1"/>
    <w:rsid w:val="005D2CC7"/>
    <w:rsid w:val="005E08D2"/>
    <w:rsid w:val="005F60DE"/>
    <w:rsid w:val="006233E6"/>
    <w:rsid w:val="0066794B"/>
    <w:rsid w:val="006B20EB"/>
    <w:rsid w:val="006C43D1"/>
    <w:rsid w:val="006E03F8"/>
    <w:rsid w:val="006E43BB"/>
    <w:rsid w:val="006E6175"/>
    <w:rsid w:val="0070677C"/>
    <w:rsid w:val="00715274"/>
    <w:rsid w:val="00716AA3"/>
    <w:rsid w:val="00751907"/>
    <w:rsid w:val="00766279"/>
    <w:rsid w:val="00783779"/>
    <w:rsid w:val="00796D74"/>
    <w:rsid w:val="007A3FF7"/>
    <w:rsid w:val="007E5482"/>
    <w:rsid w:val="007E6C57"/>
    <w:rsid w:val="007F1F62"/>
    <w:rsid w:val="008004AB"/>
    <w:rsid w:val="00816545"/>
    <w:rsid w:val="00836135"/>
    <w:rsid w:val="0086270C"/>
    <w:rsid w:val="00864A90"/>
    <w:rsid w:val="00866334"/>
    <w:rsid w:val="00896AD8"/>
    <w:rsid w:val="008A49EA"/>
    <w:rsid w:val="008E0669"/>
    <w:rsid w:val="008E5E42"/>
    <w:rsid w:val="00900BC6"/>
    <w:rsid w:val="00901611"/>
    <w:rsid w:val="00925FB6"/>
    <w:rsid w:val="009419BF"/>
    <w:rsid w:val="0099598D"/>
    <w:rsid w:val="009D07D5"/>
    <w:rsid w:val="009F426F"/>
    <w:rsid w:val="00A6079D"/>
    <w:rsid w:val="00A80B2B"/>
    <w:rsid w:val="00A90A26"/>
    <w:rsid w:val="00AB6D5D"/>
    <w:rsid w:val="00AC236D"/>
    <w:rsid w:val="00B43665"/>
    <w:rsid w:val="00B6002B"/>
    <w:rsid w:val="00B861C7"/>
    <w:rsid w:val="00BB075C"/>
    <w:rsid w:val="00BB4E0A"/>
    <w:rsid w:val="00BD38CF"/>
    <w:rsid w:val="00BF52E0"/>
    <w:rsid w:val="00BF7893"/>
    <w:rsid w:val="00C87F4B"/>
    <w:rsid w:val="00C927B7"/>
    <w:rsid w:val="00CA565B"/>
    <w:rsid w:val="00CF2063"/>
    <w:rsid w:val="00D2195D"/>
    <w:rsid w:val="00D23F5C"/>
    <w:rsid w:val="00D470C2"/>
    <w:rsid w:val="00D84FAE"/>
    <w:rsid w:val="00D85DCD"/>
    <w:rsid w:val="00D9757D"/>
    <w:rsid w:val="00DA2DE5"/>
    <w:rsid w:val="00DD3DA4"/>
    <w:rsid w:val="00DD48E3"/>
    <w:rsid w:val="00E00AD2"/>
    <w:rsid w:val="00E256C8"/>
    <w:rsid w:val="00E32296"/>
    <w:rsid w:val="00E56F8A"/>
    <w:rsid w:val="00E753E8"/>
    <w:rsid w:val="00E8274E"/>
    <w:rsid w:val="00EF1166"/>
    <w:rsid w:val="00F3052C"/>
    <w:rsid w:val="00F567AC"/>
    <w:rsid w:val="00F8017E"/>
    <w:rsid w:val="00F94CEB"/>
    <w:rsid w:val="00FA5204"/>
    <w:rsid w:val="00FB6E1E"/>
    <w:rsid w:val="00FE5969"/>
    <w:rsid w:val="00FF3151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927B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27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C927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7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927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27B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927B7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C927B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92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7F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E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927B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27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C927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7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927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27B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927B7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C927B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92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7F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E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EB676F-5813-4FBB-9C79-F4C98211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JBrown</dc:creator>
  <cp:lastModifiedBy>Watts, Linda</cp:lastModifiedBy>
  <cp:revision>2</cp:revision>
  <cp:lastPrinted>2017-01-12T17:13:00Z</cp:lastPrinted>
  <dcterms:created xsi:type="dcterms:W3CDTF">2017-03-09T20:47:00Z</dcterms:created>
  <dcterms:modified xsi:type="dcterms:W3CDTF">2017-03-09T20:47:00Z</dcterms:modified>
</cp:coreProperties>
</file>